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1B" w:rsidRDefault="00F22EEB">
      <w:pPr>
        <w:pStyle w:val="Standard"/>
        <w:spacing w:after="0" w:line="240" w:lineRule="auto"/>
        <w:ind w:firstLine="709"/>
        <w:jc w:val="center"/>
      </w:pPr>
      <w:bookmarkStart w:id="0" w:name="_GoBack"/>
      <w:bookmarkEnd w:id="0"/>
      <w:r>
        <w:rPr>
          <w:rFonts w:ascii="Times New Roman" w:hAnsi="Times New Roman" w:cs="Times New Roman"/>
          <w:b/>
          <w:sz w:val="28"/>
          <w:szCs w:val="28"/>
        </w:rPr>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w:t>
      </w:r>
      <w:r>
        <w:rPr>
          <w:rFonts w:ascii="Times New Roman" w:hAnsi="Times New Roman" w:cs="Times New Roman"/>
          <w:b/>
          <w:sz w:val="28"/>
          <w:szCs w:val="28"/>
        </w:rPr>
        <w:t>соответствующей формы справки в 2020 году (за отчетный 2019 год)</w:t>
      </w:r>
    </w:p>
    <w:p w:rsidR="0026391B" w:rsidRDefault="0026391B">
      <w:pPr>
        <w:pStyle w:val="Standard"/>
        <w:spacing w:after="0" w:line="240" w:lineRule="auto"/>
        <w:ind w:firstLine="709"/>
        <w:jc w:val="center"/>
        <w:rPr>
          <w:rFonts w:ascii="Times New Roman" w:hAnsi="Times New Roman" w:cs="Times New Roman"/>
          <w:b/>
          <w:sz w:val="28"/>
          <w:szCs w:val="28"/>
        </w:rPr>
      </w:pPr>
    </w:p>
    <w:p w:rsidR="0026391B" w:rsidRDefault="00F22EEB">
      <w:pPr>
        <w:pStyle w:val="Standard"/>
        <w:spacing w:after="0" w:line="240" w:lineRule="auto"/>
        <w:ind w:firstLine="709"/>
        <w:jc w:val="both"/>
      </w:pPr>
      <w:r>
        <w:rPr>
          <w:rFonts w:ascii="Times New Roman" w:hAnsi="Times New Roman" w:cs="Times New Roman"/>
          <w:sz w:val="28"/>
          <w:szCs w:val="28"/>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w:t>
      </w:r>
      <w:r>
        <w:rPr>
          <w:rFonts w:ascii="Times New Roman" w:hAnsi="Times New Roman" w:cs="Times New Roman"/>
          <w:sz w:val="28"/>
          <w:szCs w:val="28"/>
        </w:rPr>
        <w:t>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w:t>
      </w:r>
      <w:r>
        <w:rPr>
          <w:rFonts w:ascii="Times New Roman" w:hAnsi="Times New Roman" w:cs="Times New Roman"/>
          <w:sz w:val="28"/>
          <w:szCs w:val="28"/>
        </w:rPr>
        <w:t>змещения на официальном сайте Минтруда России.</w:t>
      </w:r>
    </w:p>
    <w:p w:rsidR="0026391B" w:rsidRDefault="00F22EEB">
      <w:pPr>
        <w:pStyle w:val="Standard"/>
        <w:spacing w:after="0" w:line="240" w:lineRule="auto"/>
        <w:ind w:firstLine="709"/>
        <w:jc w:val="both"/>
      </w:pPr>
      <w:r>
        <w:rPr>
          <w:rFonts w:ascii="Times New Roman" w:hAnsi="Times New Roman" w:cs="Times New Roman"/>
          <w:sz w:val="28"/>
          <w:szCs w:val="28"/>
        </w:rPr>
        <w:t>Методические рекомендации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w:t>
      </w:r>
      <w:r>
        <w:rPr>
          <w:rFonts w:ascii="Times New Roman" w:hAnsi="Times New Roman" w:cs="Times New Roman"/>
          <w:sz w:val="28"/>
          <w:szCs w:val="28"/>
        </w:rPr>
        <w:t xml:space="preserve"> Российской Федерации, Генеральной прокуратуры Российской Федерации и иных заинтересованных федеральных государственных органов.</w:t>
      </w:r>
    </w:p>
    <w:p w:rsidR="0026391B" w:rsidRDefault="00F22EEB">
      <w:pPr>
        <w:pStyle w:val="Standard"/>
        <w:spacing w:after="0" w:line="240" w:lineRule="auto"/>
        <w:ind w:firstLine="709"/>
        <w:jc w:val="both"/>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26391B" w:rsidRDefault="00F22EEB">
      <w:pPr>
        <w:pStyle w:val="a5"/>
        <w:numPr>
          <w:ilvl w:val="0"/>
          <w:numId w:val="2"/>
        </w:numPr>
        <w:spacing w:after="0" w:line="240" w:lineRule="auto"/>
        <w:ind w:left="0" w:firstLine="709"/>
        <w:jc w:val="both"/>
      </w:pPr>
      <w:r>
        <w:rPr>
          <w:rFonts w:ascii="Times New Roman" w:hAnsi="Times New Roman" w:cs="Times New Roman"/>
          <w:sz w:val="28"/>
          <w:szCs w:val="28"/>
        </w:rPr>
        <w:t>В преамбуле Методи</w:t>
      </w:r>
      <w:r>
        <w:rPr>
          <w:rFonts w:ascii="Times New Roman" w:hAnsi="Times New Roman" w:cs="Times New Roman"/>
          <w:sz w:val="28"/>
          <w:szCs w:val="28"/>
        </w:rPr>
        <w:t>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w:t>
      </w:r>
      <w:r>
        <w:rPr>
          <w:rFonts w:ascii="Times New Roman" w:hAnsi="Times New Roman" w:cs="Times New Roman"/>
          <w:sz w:val="28"/>
          <w:szCs w:val="28"/>
        </w:rPr>
        <w:t>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Исключены положения о необходимости представления сведений о доходах, расходах, о</w:t>
      </w:r>
      <w:r>
        <w:rPr>
          <w:rFonts w:ascii="Times New Roman" w:hAnsi="Times New Roman" w:cs="Times New Roman"/>
          <w:sz w:val="28"/>
          <w:szCs w:val="28"/>
        </w:rPr>
        <w:t>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w:t>
      </w:r>
      <w:r>
        <w:rPr>
          <w:rFonts w:ascii="Times New Roman" w:hAnsi="Times New Roman" w:cs="Times New Roman"/>
          <w:sz w:val="28"/>
          <w:szCs w:val="28"/>
        </w:rPr>
        <w:t xml:space="preserve"> в период декларационной кампании.</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В пункте 34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w:t>
      </w:r>
      <w:r>
        <w:rPr>
          <w:rFonts w:ascii="Times New Roman" w:hAnsi="Times New Roman" w:cs="Times New Roman"/>
          <w:sz w:val="28"/>
          <w:szCs w:val="28"/>
        </w:rPr>
        <w:t xml:space="preserve"> телефону, в том числе в виде смс-сообщения.</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Также в Методических рекомендациях процитированы положения из Инструкции о порядке заполнения справки о доходах, расходах, об имуществе и обязательствах имущественного характера (далее – справка) с использование</w:t>
      </w:r>
      <w:r>
        <w:rPr>
          <w:rFonts w:ascii="Times New Roman" w:hAnsi="Times New Roman" w:cs="Times New Roman"/>
          <w:sz w:val="28"/>
          <w:szCs w:val="28"/>
        </w:rPr>
        <w:t>м специального программного обеспечения "Справки БК".</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 xml:space="preserve">Дополнительно уточнено, что выплаты денежных сумм, осуществленные на основании договоров страхования, подлежат отражению в разделе 1 справки. При этом в отношении договоров страхования, поименованных в </w:t>
      </w:r>
      <w:r>
        <w:rPr>
          <w:rFonts w:ascii="Times New Roman" w:hAnsi="Times New Roman" w:cs="Times New Roman"/>
          <w:sz w:val="28"/>
          <w:szCs w:val="28"/>
        </w:rPr>
        <w:t>подпункте 3 пункта</w:t>
      </w:r>
      <w:r>
        <w:t xml:space="preserve"> </w:t>
      </w:r>
      <w:r>
        <w:rPr>
          <w:rFonts w:ascii="Times New Roman" w:hAnsi="Times New Roman" w:cs="Times New Roman"/>
          <w:sz w:val="28"/>
          <w:szCs w:val="28"/>
        </w:rPr>
        <w:t xml:space="preserve">158 Методических рекомендаций, доходом является положительный результат (разница между уплаченными </w:t>
      </w:r>
      <w:r>
        <w:rPr>
          <w:rFonts w:ascii="Times New Roman" w:hAnsi="Times New Roman" w:cs="Times New Roman"/>
          <w:sz w:val="28"/>
          <w:szCs w:val="28"/>
        </w:rPr>
        <w:lastRenderedPageBreak/>
        <w:t xml:space="preserve">страховыми премиями (взносами) и выплаченными в результате прекращения таких договоров страхования денежными суммами (в отношении каждого </w:t>
      </w:r>
      <w:r>
        <w:rPr>
          <w:rFonts w:ascii="Times New Roman" w:hAnsi="Times New Roman" w:cs="Times New Roman"/>
          <w:sz w:val="28"/>
          <w:szCs w:val="28"/>
        </w:rPr>
        <w:t>договора отдельно)).</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В Методических рекомендациях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 2 спра</w:t>
      </w:r>
      <w:r>
        <w:rPr>
          <w:rFonts w:ascii="Times New Roman" w:hAnsi="Times New Roman" w:cs="Times New Roman"/>
          <w:sz w:val="28"/>
          <w:szCs w:val="28"/>
        </w:rPr>
        <w:t>вки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Одновременно в Методических рекомендациях предусмотрены положения, касающие</w:t>
      </w:r>
      <w:r>
        <w:rPr>
          <w:rFonts w:ascii="Times New Roman" w:hAnsi="Times New Roman" w:cs="Times New Roman"/>
          <w:sz w:val="28"/>
          <w:szCs w:val="28"/>
        </w:rPr>
        <w:t>ся граждан, зарегистрированных в качестве индивидуальных предпринимателей.</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 xml:space="preserve">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w:t>
      </w:r>
      <w:r>
        <w:rPr>
          <w:rFonts w:ascii="Times New Roman" w:hAnsi="Times New Roman" w:cs="Times New Roman"/>
          <w:sz w:val="28"/>
          <w:szCs w:val="28"/>
        </w:rPr>
        <w:t>которого представляется справка (в том числе в подразделе 6.1 раздела 6 справки).</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Методические рекомендации дополнены положением, согласно которому, по общему правилу, предусмотренному пунктом 2 статьи 223 Гражданского кодекса Российской Федерации, в случа</w:t>
      </w:r>
      <w:r>
        <w:rPr>
          <w:rFonts w:ascii="Times New Roman" w:hAnsi="Times New Roman" w:cs="Times New Roman"/>
          <w:sz w:val="28"/>
          <w:szCs w:val="28"/>
        </w:rPr>
        <w:t xml:space="preserve">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w:t>
      </w:r>
      <w:r>
        <w:rPr>
          <w:rFonts w:ascii="Times New Roman" w:hAnsi="Times New Roman" w:cs="Times New Roman"/>
          <w:sz w:val="28"/>
          <w:szCs w:val="28"/>
        </w:rPr>
        <w:t>учетный характер и не служит основанием для возникновения (прекращения) на них права собственности.</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 xml:space="preserve">Отмечено, что в графе "Место регистрации" подраздела 3.2 раздела 3 справки допускается указание кода подразделения ГИБДД в соответствии со свидетельством о </w:t>
      </w:r>
      <w:r>
        <w:rPr>
          <w:rFonts w:ascii="Times New Roman" w:hAnsi="Times New Roman" w:cs="Times New Roman"/>
          <w:sz w:val="28"/>
          <w:szCs w:val="28"/>
        </w:rPr>
        <w:t>регистрации транспортного средства.</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В разделе 4 справки необходимо отражать информацию о номинальных счетах и счетах эскроу, а также о счетах, открытых гражданам, зарегистрированным в качестве индивидуальных предпринимателей (при этом прилагать выписку о д</w:t>
      </w:r>
      <w:r>
        <w:rPr>
          <w:rFonts w:ascii="Times New Roman" w:hAnsi="Times New Roman" w:cs="Times New Roman"/>
          <w:sz w:val="28"/>
          <w:szCs w:val="28"/>
        </w:rPr>
        <w:t>вижении денежных средств по расчетному счету индивидуального предпринимателя не требуется).</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В части графы "Основание участия" подраздела 5.1 раздела 5 справки предусмотрено, что подтверждением права собственности на ценные бумаги, права на которые подлежат</w:t>
      </w:r>
      <w:r>
        <w:rPr>
          <w:rFonts w:ascii="Times New Roman" w:hAnsi="Times New Roman" w:cs="Times New Roman"/>
          <w:sz w:val="28"/>
          <w:szCs w:val="28"/>
        </w:rPr>
        <w:t xml:space="preserve">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w:t>
      </w:r>
      <w:r>
        <w:rPr>
          <w:rFonts w:ascii="Times New Roman" w:hAnsi="Times New Roman" w:cs="Times New Roman"/>
          <w:sz w:val="28"/>
          <w:szCs w:val="28"/>
        </w:rPr>
        <w:t>етственно депозитарием или держателем реестра.</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Одновременно для графы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w:t>
      </w:r>
      <w:r>
        <w:rPr>
          <w:rFonts w:ascii="Times New Roman" w:hAnsi="Times New Roman" w:cs="Times New Roman"/>
          <w:sz w:val="28"/>
          <w:szCs w:val="28"/>
        </w:rPr>
        <w:t xml:space="preserve">дельные ценные бумаги (инвестиционный пай паевого инвестиционного фонда, депозитарные расписки, закладные, ипотечные сертификаты участия, </w:t>
      </w:r>
      <w:r>
        <w:rPr>
          <w:rFonts w:ascii="Times New Roman" w:hAnsi="Times New Roman" w:cs="Times New Roman"/>
          <w:sz w:val="28"/>
          <w:szCs w:val="28"/>
        </w:rPr>
        <w:lastRenderedPageBreak/>
        <w:t>сберегательные сертификаты) не имеют номинальной стоимости; в этой связи данная графа не заполняется).</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Также в Методич</w:t>
      </w:r>
      <w:r>
        <w:rPr>
          <w:rFonts w:ascii="Times New Roman" w:hAnsi="Times New Roman" w:cs="Times New Roman"/>
          <w:sz w:val="28"/>
          <w:szCs w:val="28"/>
        </w:rPr>
        <w:t>еских рекомендациях указано, что информация о наличии банковских счетов может быть получена лицом, в отношении которого представляется справка, у ФНС России.</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Уточнены условия, при которых не требуется в подразделе 6.1 раздела 6 справки одного из супругов у</w:t>
      </w:r>
      <w:r>
        <w:rPr>
          <w:rFonts w:ascii="Times New Roman" w:hAnsi="Times New Roman" w:cs="Times New Roman"/>
          <w:sz w:val="28"/>
          <w:szCs w:val="28"/>
        </w:rPr>
        <w:t>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подразделе 3.1 справки одного из супругов (аналогично в отношении несовершеннолетних детей)).</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Также конкретизированы положения о размере обязательства для целей заполнения подраздела 6.2 раздела 6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Мет</w:t>
      </w:r>
      <w:r>
        <w:rPr>
          <w:rFonts w:ascii="Times New Roman" w:hAnsi="Times New Roman" w:cs="Times New Roman"/>
          <w:sz w:val="28"/>
          <w:szCs w:val="28"/>
        </w:rPr>
        <w:t>одические рекомендации дополнены примерами срочных обязательств финансового 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закона от 23</w:t>
      </w:r>
      <w:r>
        <w:rPr>
          <w:rFonts w:ascii="Times New Roman" w:hAnsi="Times New Roman" w:cs="Times New Roman"/>
          <w:sz w:val="28"/>
          <w:szCs w:val="28"/>
        </w:rPr>
        <w:t xml:space="preserve"> декабря 2003 г. №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В отношении подраздела 6.2 раздела 6 спра</w:t>
      </w:r>
      <w:r>
        <w:rPr>
          <w:rFonts w:ascii="Times New Roman" w:hAnsi="Times New Roman" w:cs="Times New Roman"/>
          <w:sz w:val="28"/>
          <w:szCs w:val="28"/>
        </w:rPr>
        <w:t>вки подробно раскрыт порядок отражения обязательств, возникающих в соответствии с Законом Российской Федерации от 27 ноября 1992 года № 4015-1 "Об организации страхового дела в Российской Федерации".</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Также в Методических рекомендациях указано, что к безвоз</w:t>
      </w:r>
      <w:r>
        <w:rPr>
          <w:rFonts w:ascii="Times New Roman" w:hAnsi="Times New Roman" w:cs="Times New Roman"/>
          <w:sz w:val="28"/>
          <w:szCs w:val="28"/>
        </w:rPr>
        <w:t>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w:t>
      </w:r>
      <w:r>
        <w:rPr>
          <w:rFonts w:ascii="Times New Roman" w:hAnsi="Times New Roman" w:cs="Times New Roman"/>
          <w:sz w:val="28"/>
          <w:szCs w:val="28"/>
        </w:rPr>
        <w:t>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26391B" w:rsidRDefault="00F22EEB">
      <w:pPr>
        <w:pStyle w:val="a5"/>
        <w:numPr>
          <w:ilvl w:val="0"/>
          <w:numId w:val="1"/>
        </w:numPr>
        <w:spacing w:after="0" w:line="240" w:lineRule="auto"/>
        <w:ind w:left="0" w:firstLine="709"/>
        <w:jc w:val="both"/>
      </w:pPr>
      <w:r>
        <w:rPr>
          <w:rFonts w:ascii="Times New Roman" w:hAnsi="Times New Roman" w:cs="Times New Roman"/>
          <w:sz w:val="28"/>
          <w:szCs w:val="28"/>
        </w:rPr>
        <w:t>Положения Методических рекомендаций актуализированы с учетом изменений нормативн</w:t>
      </w:r>
      <w:r>
        <w:rPr>
          <w:rFonts w:ascii="Times New Roman" w:hAnsi="Times New Roman" w:cs="Times New Roman"/>
          <w:sz w:val="28"/>
          <w:szCs w:val="28"/>
        </w:rPr>
        <w:t>ых правовых актов Российской Федерации.</w:t>
      </w:r>
    </w:p>
    <w:sectPr w:rsidR="0026391B">
      <w:headerReference w:type="default" r:id="rId7"/>
      <w:pgSz w:w="11906" w:h="16838"/>
      <w:pgMar w:top="708" w:right="850"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EEB" w:rsidRDefault="00F22EEB">
      <w:pPr>
        <w:spacing w:after="0" w:line="240" w:lineRule="auto"/>
      </w:pPr>
      <w:r>
        <w:separator/>
      </w:r>
    </w:p>
  </w:endnote>
  <w:endnote w:type="continuationSeparator" w:id="0">
    <w:p w:rsidR="00F22EEB" w:rsidRDefault="00F22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EEB" w:rsidRDefault="00F22EEB">
      <w:pPr>
        <w:spacing w:after="0" w:line="240" w:lineRule="auto"/>
      </w:pPr>
      <w:r>
        <w:rPr>
          <w:color w:val="000000"/>
        </w:rPr>
        <w:separator/>
      </w:r>
    </w:p>
  </w:footnote>
  <w:footnote w:type="continuationSeparator" w:id="0">
    <w:p w:rsidR="00F22EEB" w:rsidRDefault="00F22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741" w:rsidRDefault="00F22EEB">
    <w:pPr>
      <w:pStyle w:val="a7"/>
    </w:pPr>
    <w:r>
      <w:fldChar w:fldCharType="begin"/>
    </w:r>
    <w:r>
      <w:instrText xml:space="preserve"> PAGE </w:instrText>
    </w:r>
    <w:r>
      <w:fldChar w:fldCharType="separate"/>
    </w:r>
    <w:r w:rsidR="003D5998">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1954"/>
    <w:multiLevelType w:val="multilevel"/>
    <w:tmpl w:val="D1F06A98"/>
    <w:styleLink w:val="WWNum1"/>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6391B"/>
    <w:rsid w:val="0026391B"/>
    <w:rsid w:val="003D5998"/>
    <w:rsid w:val="00F22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F9443-3C40-4CA5-9209-396BBD96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ru-RU"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styleId="a6">
    <w:name w:val="Balloon Text"/>
    <w:basedOn w:val="Standard"/>
    <w:pPr>
      <w:spacing w:after="0" w:line="240" w:lineRule="auto"/>
    </w:pPr>
    <w:rPr>
      <w:rFonts w:ascii="Segoe UI" w:hAnsi="Segoe UI" w:cs="Segoe UI"/>
      <w:sz w:val="18"/>
      <w:szCs w:val="18"/>
    </w:rPr>
  </w:style>
  <w:style w:type="paragraph" w:styleId="a7">
    <w:name w:val="header"/>
    <w:basedOn w:val="Standard"/>
    <w:pPr>
      <w:suppressLineNumbers/>
      <w:tabs>
        <w:tab w:val="center" w:pos="4677"/>
        <w:tab w:val="right" w:pos="9355"/>
      </w:tabs>
      <w:spacing w:after="0" w:line="240" w:lineRule="auto"/>
    </w:pPr>
  </w:style>
  <w:style w:type="paragraph" w:styleId="a8">
    <w:name w:val="footer"/>
    <w:basedOn w:val="Standard"/>
    <w:pPr>
      <w:suppressLineNumbers/>
      <w:tabs>
        <w:tab w:val="center" w:pos="4677"/>
        <w:tab w:val="right" w:pos="9355"/>
      </w:tabs>
      <w:spacing w:after="0" w:line="240" w:lineRule="auto"/>
    </w:pPr>
  </w:style>
  <w:style w:type="character" w:customStyle="1" w:styleId="a9">
    <w:name w:val="Текст выноски Знак"/>
    <w:basedOn w:val="a0"/>
    <w:rPr>
      <w:rFonts w:ascii="Segoe UI" w:hAnsi="Segoe UI" w:cs="Segoe UI"/>
      <w:sz w:val="18"/>
      <w:szCs w:val="18"/>
    </w:rPr>
  </w:style>
  <w:style w:type="character" w:customStyle="1" w:styleId="aa">
    <w:name w:val="Верхний колонтитул Знак"/>
    <w:basedOn w:val="a0"/>
  </w:style>
  <w:style w:type="character" w:customStyle="1" w:styleId="ab">
    <w:name w:val="Нижний колонтитул Знак"/>
    <w:basedOn w:val="a0"/>
  </w:style>
  <w:style w:type="numbering" w:customStyle="1" w:styleId="WWNum1">
    <w:name w:val="WWNum1"/>
    <w:basedOn w:val="a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Пользователь Windows</cp:lastModifiedBy>
  <cp:revision>2</cp:revision>
  <cp:lastPrinted>2019-12-26T15:30:00Z</cp:lastPrinted>
  <dcterms:created xsi:type="dcterms:W3CDTF">2020-03-04T06:02:00Z</dcterms:created>
  <dcterms:modified xsi:type="dcterms:W3CDTF">2020-03-04T06:02:00Z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